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83FAB2">
      <w:pPr>
        <w:spacing w:line="520" w:lineRule="exact"/>
        <w:jc w:val="left"/>
        <w:rPr>
          <w:rFonts w:ascii="Times New Roman" w:hAnsi="Times New Roman" w:eastAsia="方正黑体_GBK"/>
          <w:color w:val="000000"/>
          <w:kern w:val="0"/>
          <w:sz w:val="30"/>
          <w:szCs w:val="30"/>
        </w:rPr>
      </w:pPr>
      <w:bookmarkStart w:id="0" w:name="_GoBack"/>
      <w:r>
        <w:rPr>
          <w:rFonts w:hint="eastAsia" w:ascii="Times New Roman" w:hAnsi="Times New Roman" w:eastAsia="方正黑体_GBK"/>
          <w:color w:val="000000"/>
          <w:kern w:val="0"/>
          <w:sz w:val="30"/>
          <w:szCs w:val="30"/>
        </w:rPr>
        <w:t>附件</w:t>
      </w:r>
      <w:r>
        <w:rPr>
          <w:rFonts w:hint="eastAsia" w:ascii="Times New Roman" w:hAnsi="Times New Roman" w:eastAsia="方正黑体_GBK"/>
          <w:color w:val="000000"/>
          <w:kern w:val="0"/>
          <w:sz w:val="30"/>
          <w:szCs w:val="30"/>
          <w:lang w:val="en-US" w:eastAsia="zh-CN"/>
        </w:rPr>
        <w:t>1</w:t>
      </w:r>
      <w:r>
        <w:rPr>
          <w:rFonts w:hint="eastAsia" w:ascii="Times New Roman" w:hAnsi="Times New Roman" w:eastAsia="方正黑体_GBK"/>
          <w:color w:val="000000"/>
          <w:kern w:val="0"/>
          <w:sz w:val="30"/>
          <w:szCs w:val="30"/>
        </w:rPr>
        <w:t>：</w:t>
      </w:r>
    </w:p>
    <w:p w14:paraId="04C77BED">
      <w:pPr>
        <w:widowControl/>
        <w:snapToGrid w:val="0"/>
        <w:spacing w:after="120" w:afterLines="50"/>
        <w:jc w:val="center"/>
        <w:rPr>
          <w:rFonts w:ascii="Times New Roman" w:hAnsi="Times New Roman" w:eastAsia="方正小标宋简体" w:cs="宋体"/>
          <w:color w:val="000000"/>
          <w:kern w:val="0"/>
          <w:sz w:val="36"/>
          <w:szCs w:val="36"/>
        </w:rPr>
      </w:pPr>
      <w:r>
        <w:rPr>
          <w:rFonts w:hint="eastAsia" w:ascii="Times New Roman" w:hAnsi="Times New Roman" w:eastAsia="方正小标宋简体" w:cs="宋体"/>
          <w:color w:val="000000"/>
          <w:kern w:val="0"/>
          <w:sz w:val="36"/>
          <w:szCs w:val="36"/>
        </w:rPr>
        <w:t>团（总）支部“对标定级”参考标准（2021年版）</w:t>
      </w:r>
    </w:p>
    <w:bookmarkEnd w:id="0"/>
    <w:tbl>
      <w:tblPr>
        <w:tblStyle w:val="3"/>
        <w:tblW w:w="138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5"/>
        <w:gridCol w:w="3260"/>
        <w:gridCol w:w="4536"/>
        <w:gridCol w:w="4591"/>
      </w:tblGrid>
      <w:tr w14:paraId="13EDE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  <w:tblHeader/>
          <w:jc w:val="center"/>
        </w:trPr>
        <w:tc>
          <w:tcPr>
            <w:tcW w:w="1505" w:type="dxa"/>
            <w:noWrap w:val="0"/>
            <w:vAlign w:val="center"/>
          </w:tcPr>
          <w:p w14:paraId="638C3A5F">
            <w:pPr>
              <w:snapToGrid w:val="0"/>
              <w:spacing w:line="32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/>
                <w:color w:val="auto"/>
                <w:sz w:val="24"/>
                <w:szCs w:val="24"/>
              </w:rPr>
              <w:t>类别分值</w:t>
            </w:r>
          </w:p>
        </w:tc>
        <w:tc>
          <w:tcPr>
            <w:tcW w:w="3260" w:type="dxa"/>
            <w:noWrap w:val="0"/>
            <w:vAlign w:val="center"/>
          </w:tcPr>
          <w:p w14:paraId="2F1C6241">
            <w:pPr>
              <w:snapToGrid w:val="0"/>
              <w:spacing w:line="32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/>
                <w:color w:val="auto"/>
                <w:sz w:val="24"/>
                <w:szCs w:val="24"/>
              </w:rPr>
              <w:t>对标项目</w:t>
            </w:r>
          </w:p>
        </w:tc>
        <w:tc>
          <w:tcPr>
            <w:tcW w:w="4536" w:type="dxa"/>
            <w:noWrap w:val="0"/>
            <w:vAlign w:val="center"/>
          </w:tcPr>
          <w:p w14:paraId="6E20649C">
            <w:pPr>
              <w:snapToGrid w:val="0"/>
              <w:spacing w:line="32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/>
                <w:color w:val="auto"/>
                <w:sz w:val="24"/>
                <w:szCs w:val="24"/>
              </w:rPr>
              <w:t>具体指标要求</w:t>
            </w:r>
          </w:p>
        </w:tc>
        <w:tc>
          <w:tcPr>
            <w:tcW w:w="4591" w:type="dxa"/>
            <w:noWrap w:val="0"/>
            <w:vAlign w:val="center"/>
          </w:tcPr>
          <w:p w14:paraId="0826A9C1">
            <w:pPr>
              <w:snapToGrid w:val="0"/>
              <w:spacing w:line="32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简体"/>
                <w:color w:val="auto"/>
                <w:sz w:val="24"/>
                <w:szCs w:val="24"/>
              </w:rPr>
              <w:t>说明</w:t>
            </w:r>
          </w:p>
        </w:tc>
      </w:tr>
      <w:tr w14:paraId="6AA93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  <w:jc w:val="center"/>
        </w:trPr>
        <w:tc>
          <w:tcPr>
            <w:tcW w:w="1505" w:type="dxa"/>
            <w:vMerge w:val="restart"/>
            <w:noWrap w:val="0"/>
            <w:vAlign w:val="center"/>
          </w:tcPr>
          <w:p w14:paraId="63AC19B8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班子建设</w:t>
            </w:r>
          </w:p>
          <w:p w14:paraId="121739DA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（10分）</w:t>
            </w:r>
          </w:p>
        </w:tc>
        <w:tc>
          <w:tcPr>
            <w:tcW w:w="3260" w:type="dxa"/>
            <w:noWrap w:val="0"/>
            <w:vAlign w:val="center"/>
          </w:tcPr>
          <w:p w14:paraId="5C0BEFD5">
            <w:pPr>
              <w:numPr>
                <w:ilvl w:val="0"/>
                <w:numId w:val="1"/>
              </w:num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班子配备齐整（5分）</w:t>
            </w:r>
          </w:p>
        </w:tc>
        <w:tc>
          <w:tcPr>
            <w:tcW w:w="4536" w:type="dxa"/>
            <w:noWrap w:val="0"/>
            <w:vAlign w:val="center"/>
          </w:tcPr>
          <w:p w14:paraId="4D4774CC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书记（副书记、委员）配备齐整，随缺随补，按期换届；支书称职。</w:t>
            </w:r>
          </w:p>
        </w:tc>
        <w:tc>
          <w:tcPr>
            <w:tcW w:w="4591" w:type="dxa"/>
            <w:noWrap w:val="0"/>
            <w:vAlign w:val="center"/>
          </w:tcPr>
          <w:p w14:paraId="73C6CFD1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（1）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超过6个月没有书记或未按规定换届的，不得分；（2）超过1年未配备书记的，或超过规定期限2年未换届的，</w:t>
            </w: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直接评定为软弱涣散团支部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。</w:t>
            </w:r>
          </w:p>
        </w:tc>
      </w:tr>
      <w:tr w14:paraId="7B77B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1A869085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654520F2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2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．班子运转有序（5分）</w:t>
            </w:r>
          </w:p>
        </w:tc>
        <w:tc>
          <w:tcPr>
            <w:tcW w:w="4536" w:type="dxa"/>
            <w:noWrap w:val="0"/>
            <w:vAlign w:val="center"/>
          </w:tcPr>
          <w:p w14:paraId="5079CDD9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支部委员设置规范、分工明确，支委会运转正常、能发挥作用。</w:t>
            </w:r>
          </w:p>
        </w:tc>
        <w:tc>
          <w:tcPr>
            <w:tcW w:w="4591" w:type="dxa"/>
            <w:noWrap w:val="0"/>
            <w:vAlign w:val="center"/>
          </w:tcPr>
          <w:p w14:paraId="0F4B7EBD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支部团员超过7人，但未成立支委会的不得分。</w:t>
            </w:r>
          </w:p>
        </w:tc>
      </w:tr>
      <w:tr w14:paraId="35C28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1505" w:type="dxa"/>
            <w:vMerge w:val="restart"/>
            <w:noWrap w:val="0"/>
            <w:vAlign w:val="center"/>
          </w:tcPr>
          <w:p w14:paraId="14110070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团员管理</w:t>
            </w:r>
          </w:p>
          <w:p w14:paraId="6824545C">
            <w:pPr>
              <w:snapToGrid w:val="0"/>
              <w:jc w:val="center"/>
              <w:rPr>
                <w:rFonts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（25分）</w:t>
            </w:r>
          </w:p>
        </w:tc>
        <w:tc>
          <w:tcPr>
            <w:tcW w:w="3260" w:type="dxa"/>
            <w:noWrap w:val="0"/>
            <w:vAlign w:val="center"/>
          </w:tcPr>
          <w:p w14:paraId="38E12060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3．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团员信息完整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（10分）</w:t>
            </w:r>
          </w:p>
        </w:tc>
        <w:tc>
          <w:tcPr>
            <w:tcW w:w="4536" w:type="dxa"/>
            <w:noWrap w:val="0"/>
            <w:vAlign w:val="center"/>
          </w:tcPr>
          <w:p w14:paraId="0DC1BAB6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团员底数清晰，团员信息完整，团员档案完备，能联系上。</w:t>
            </w:r>
          </w:p>
        </w:tc>
        <w:tc>
          <w:tcPr>
            <w:tcW w:w="4591" w:type="dxa"/>
            <w:noWrap w:val="0"/>
            <w:vAlign w:val="center"/>
          </w:tcPr>
          <w:p w14:paraId="17680B08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评估是否有团员基本信息台账，核查“智慧团建”系统数据，与实际情况出入较大或严重不符、弄虚作假的，</w:t>
            </w: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直接评定为软弱涣散团支部。</w:t>
            </w:r>
          </w:p>
        </w:tc>
      </w:tr>
      <w:tr w14:paraId="0612A7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2FD00728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28CCC549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4．入团程序规范（10分）</w:t>
            </w:r>
          </w:p>
        </w:tc>
        <w:tc>
          <w:tcPr>
            <w:tcW w:w="4536" w:type="dxa"/>
            <w:noWrap w:val="0"/>
            <w:vAlign w:val="center"/>
          </w:tcPr>
          <w:p w14:paraId="00C98C0F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严格按程序发展团员；无突击发展团员、不满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14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周岁入团等现象；规范组织入团仪式。</w:t>
            </w:r>
          </w:p>
        </w:tc>
        <w:tc>
          <w:tcPr>
            <w:tcW w:w="4591" w:type="dxa"/>
            <w:noWrap w:val="0"/>
            <w:vAlign w:val="center"/>
          </w:tcPr>
          <w:p w14:paraId="50EA2142">
            <w:pPr>
              <w:snapToGrid w:val="0"/>
              <w:spacing w:line="340" w:lineRule="exact"/>
              <w:rPr>
                <w:rFonts w:hint="eastAsia" w:ascii="Times New Roman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（1）存在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2021年新发展团员未录入“智慧团建”系统的不得分；（2）出现无发展团员编号入团、低龄入团等严重违规问题，</w:t>
            </w: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直接评定为软弱涣散团支部。</w:t>
            </w:r>
          </w:p>
        </w:tc>
      </w:tr>
      <w:tr w14:paraId="36709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47C6EBA4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518E1332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5．基础团务规范（5分）</w:t>
            </w:r>
          </w:p>
        </w:tc>
        <w:tc>
          <w:tcPr>
            <w:tcW w:w="4536" w:type="dxa"/>
            <w:noWrap w:val="0"/>
            <w:vAlign w:val="center"/>
          </w:tcPr>
          <w:p w14:paraId="0917CCBB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及时规范转接团员组织关系；按时足额收缴、上缴团费。</w:t>
            </w:r>
          </w:p>
        </w:tc>
        <w:tc>
          <w:tcPr>
            <w:tcW w:w="4591" w:type="dxa"/>
            <w:noWrap w:val="0"/>
            <w:vAlign w:val="center"/>
          </w:tcPr>
          <w:p w14:paraId="62D1190A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评估2021年接收和转出团员情况；团费实收占应收的比例。未及时开展团员组织关系转接、失联团员较多、团费收缴情况较差的不得分。</w:t>
            </w:r>
          </w:p>
        </w:tc>
      </w:tr>
      <w:tr w14:paraId="10CA0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1505" w:type="dxa"/>
            <w:vMerge w:val="restart"/>
            <w:noWrap w:val="0"/>
            <w:vAlign w:val="center"/>
          </w:tcPr>
          <w:p w14:paraId="481B4817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组织生活</w:t>
            </w:r>
          </w:p>
          <w:p w14:paraId="1E285C3B">
            <w:pPr>
              <w:snapToGrid w:val="0"/>
              <w:jc w:val="center"/>
              <w:rPr>
                <w:rFonts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（25分）</w:t>
            </w:r>
          </w:p>
        </w:tc>
        <w:tc>
          <w:tcPr>
            <w:tcW w:w="3260" w:type="dxa"/>
            <w:noWrap w:val="0"/>
            <w:vAlign w:val="center"/>
          </w:tcPr>
          <w:p w14:paraId="051934CF">
            <w:pPr>
              <w:numPr>
                <w:ilvl w:val="0"/>
                <w:numId w:val="2"/>
              </w:num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党史学习教育（10分）</w:t>
            </w:r>
          </w:p>
        </w:tc>
        <w:tc>
          <w:tcPr>
            <w:tcW w:w="4536" w:type="dxa"/>
            <w:noWrap w:val="0"/>
            <w:vAlign w:val="center"/>
          </w:tcPr>
          <w:p w14:paraId="44335C27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按照“学党史、强信念、跟党走”党史学习教育安排，组织专题学习会、主题团日等学习活动；每次团员参与率50%以上。</w:t>
            </w:r>
          </w:p>
        </w:tc>
        <w:tc>
          <w:tcPr>
            <w:tcW w:w="4591" w:type="dxa"/>
            <w:noWrap w:val="0"/>
            <w:vAlign w:val="center"/>
          </w:tcPr>
          <w:p w14:paraId="76B7A8A5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与“智慧团建”系统核查校验，评定为五星级或四星级团支部，全年开展党史学习教育应不少于5次（含组织生活会）。开展少于2次的（含组织生活会），直接评定为软弱涣散团支部。</w:t>
            </w:r>
          </w:p>
        </w:tc>
      </w:tr>
      <w:tr w14:paraId="1D4FF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1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3171CAB9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0AEA59CF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7．组织生活会（5分）</w:t>
            </w:r>
          </w:p>
        </w:tc>
        <w:tc>
          <w:tcPr>
            <w:tcW w:w="4536" w:type="dxa"/>
            <w:noWrap w:val="0"/>
            <w:vAlign w:val="center"/>
          </w:tcPr>
          <w:p w14:paraId="635AE2AB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定期开展组织生活会，每年不少于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次，有主题有记录。团总支书记、副书记编入一个团的支部，并参加所在支部组织生活。</w:t>
            </w:r>
          </w:p>
        </w:tc>
        <w:tc>
          <w:tcPr>
            <w:tcW w:w="4591" w:type="dxa"/>
            <w:noWrap w:val="0"/>
            <w:vAlign w:val="center"/>
          </w:tcPr>
          <w:p w14:paraId="3562C3F6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根据“学党史、强信念、跟党走”专题组织生活会实施指引开展，应开展但未开展的直接评定为软弱涣散团支部。</w:t>
            </w:r>
          </w:p>
        </w:tc>
      </w:tr>
      <w:tr w14:paraId="492B2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5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0E469701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2A810D52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8．“三会两制一课”（10分）</w:t>
            </w:r>
          </w:p>
        </w:tc>
        <w:tc>
          <w:tcPr>
            <w:tcW w:w="4536" w:type="dxa"/>
            <w:noWrap w:val="0"/>
            <w:vAlign w:val="center"/>
          </w:tcPr>
          <w:p w14:paraId="047DAA6E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团员大会一般每季度召开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次；支委会一般每月召开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次；团小组会根据需要随时召开；团员年度团籍注册工作与团员教育评议相结合，一般每年进行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次。每季度安排上1次团课。</w:t>
            </w:r>
          </w:p>
        </w:tc>
        <w:tc>
          <w:tcPr>
            <w:tcW w:w="4591" w:type="dxa"/>
            <w:noWrap w:val="0"/>
            <w:vAlign w:val="center"/>
          </w:tcPr>
          <w:p w14:paraId="2716091A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本年度未开展团课，或未组织团员参加上级组织开展的团课不得分；未召开团员大会的不得分；未开展主题团日的不得分。</w:t>
            </w:r>
          </w:p>
        </w:tc>
      </w:tr>
      <w:tr w14:paraId="5E9C8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1505" w:type="dxa"/>
            <w:vMerge w:val="restart"/>
            <w:noWrap w:val="0"/>
            <w:vAlign w:val="center"/>
          </w:tcPr>
          <w:p w14:paraId="0334CD07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制度落实</w:t>
            </w:r>
          </w:p>
          <w:p w14:paraId="11B8A687">
            <w:pPr>
              <w:snapToGrid w:val="0"/>
              <w:jc w:val="center"/>
              <w:rPr>
                <w:rFonts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（20分）</w:t>
            </w:r>
          </w:p>
        </w:tc>
        <w:tc>
          <w:tcPr>
            <w:tcW w:w="3260" w:type="dxa"/>
            <w:noWrap w:val="0"/>
            <w:vAlign w:val="center"/>
          </w:tcPr>
          <w:p w14:paraId="0A065053">
            <w:pPr>
              <w:snapToGrid w:val="0"/>
              <w:spacing w:line="340" w:lineRule="exact"/>
              <w:jc w:val="lef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9．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组织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设置规范（5分）</w:t>
            </w:r>
          </w:p>
        </w:tc>
        <w:tc>
          <w:tcPr>
            <w:tcW w:w="4536" w:type="dxa"/>
            <w:noWrap w:val="0"/>
            <w:vAlign w:val="center"/>
          </w:tcPr>
          <w:p w14:paraId="447894DE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支部至少有3名以上团员（含保团籍的党员）、不超过50人，隶属关系清晰；团总支至少有2个下属支部；规范设立、管理团小组。</w:t>
            </w:r>
          </w:p>
        </w:tc>
        <w:tc>
          <w:tcPr>
            <w:tcW w:w="4591" w:type="dxa"/>
            <w:noWrap w:val="0"/>
            <w:vAlign w:val="center"/>
          </w:tcPr>
          <w:p w14:paraId="1F22D5E5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与“智慧团建”系统核查校验，团支部团员少于3人超过半年未撤并、团支部多于50人超过半年未调整、团总支只有1个或没有下属团支部的不得分。</w:t>
            </w:r>
          </w:p>
        </w:tc>
      </w:tr>
      <w:tr w14:paraId="6029F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35158086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694C1A9A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10．“智慧团建”应用（5分）</w:t>
            </w:r>
          </w:p>
        </w:tc>
        <w:tc>
          <w:tcPr>
            <w:tcW w:w="4536" w:type="dxa"/>
            <w:noWrap w:val="0"/>
            <w:vAlign w:val="center"/>
          </w:tcPr>
          <w:p w14:paraId="3C577411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团员、团组织、团干部信息完整；及时动态更新信息。</w:t>
            </w:r>
          </w:p>
        </w:tc>
        <w:tc>
          <w:tcPr>
            <w:tcW w:w="4591" w:type="dxa"/>
            <w:noWrap w:val="0"/>
            <w:vAlign w:val="center"/>
          </w:tcPr>
          <w:p w14:paraId="429EE8A5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团支部管理员超过3个月未登录使用“智慧团建”系统的、违规将非团员录入系统的不得分。</w:t>
            </w:r>
          </w:p>
        </w:tc>
      </w:tr>
      <w:tr w14:paraId="299A9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2E5C85B5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72F74130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11．团员先进性评价（5分）</w:t>
            </w:r>
          </w:p>
        </w:tc>
        <w:tc>
          <w:tcPr>
            <w:tcW w:w="4536" w:type="dxa"/>
            <w:noWrap w:val="0"/>
            <w:vAlign w:val="center"/>
          </w:tcPr>
          <w:p w14:paraId="33709829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结合党史学习教育专题组织生活会、团员教育评议和年度团籍注册，规范开展团员先进性评价。</w:t>
            </w:r>
          </w:p>
        </w:tc>
        <w:tc>
          <w:tcPr>
            <w:tcW w:w="4591" w:type="dxa"/>
            <w:noWrap w:val="0"/>
            <w:vAlign w:val="center"/>
          </w:tcPr>
          <w:p w14:paraId="403CA936">
            <w:pPr>
              <w:snapToGrid w:val="0"/>
              <w:spacing w:line="340" w:lineRule="exact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未开展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团员先进性评价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的不得分。</w:t>
            </w:r>
          </w:p>
        </w:tc>
      </w:tr>
      <w:tr w14:paraId="2C3D10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62B1B364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77E552F8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12.规范使用团的标识（5分）</w:t>
            </w:r>
          </w:p>
        </w:tc>
        <w:tc>
          <w:tcPr>
            <w:tcW w:w="4536" w:type="dxa"/>
            <w:noWrap w:val="0"/>
            <w:vAlign w:val="center"/>
          </w:tcPr>
          <w:p w14:paraId="7D01E3DF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落实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团旗、团徽、团歌使用管理规定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要求。</w:t>
            </w:r>
          </w:p>
        </w:tc>
        <w:tc>
          <w:tcPr>
            <w:tcW w:w="4591" w:type="dxa"/>
            <w:noWrap w:val="0"/>
            <w:vAlign w:val="center"/>
          </w:tcPr>
          <w:p w14:paraId="0D1D60DE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使用不规范团旗团徽，或未按规定使用团旗团徽造成不良影响的不得分。</w:t>
            </w:r>
          </w:p>
        </w:tc>
      </w:tr>
      <w:tr w14:paraId="4754C4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30" w:hRule="atLeast"/>
          <w:jc w:val="center"/>
        </w:trPr>
        <w:tc>
          <w:tcPr>
            <w:tcW w:w="1505" w:type="dxa"/>
            <w:vMerge w:val="restart"/>
            <w:noWrap w:val="0"/>
            <w:vAlign w:val="center"/>
          </w:tcPr>
          <w:p w14:paraId="696160A3">
            <w:pPr>
              <w:snapToGrid w:val="0"/>
              <w:jc w:val="center"/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</w:pPr>
            <w:r>
              <w:rPr>
                <w:rFonts w:ascii="方正黑体简体" w:hAnsi="Times New Roman" w:eastAsia="方正黑体简体"/>
                <w:color w:val="auto"/>
                <w:sz w:val="24"/>
                <w:szCs w:val="24"/>
              </w:rPr>
              <w:t>作用发挥</w:t>
            </w:r>
          </w:p>
          <w:p w14:paraId="590DF23F">
            <w:pPr>
              <w:snapToGrid w:val="0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方正黑体简体" w:hAnsi="Times New Roman" w:eastAsia="方正黑体简体"/>
                <w:color w:val="auto"/>
                <w:sz w:val="24"/>
                <w:szCs w:val="24"/>
              </w:rPr>
              <w:t>（20分）</w:t>
            </w:r>
          </w:p>
        </w:tc>
        <w:tc>
          <w:tcPr>
            <w:tcW w:w="3260" w:type="dxa"/>
            <w:noWrap w:val="0"/>
            <w:vAlign w:val="center"/>
          </w:tcPr>
          <w:p w14:paraId="1F8BA575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13.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团员先进性彰显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（10分）</w:t>
            </w:r>
          </w:p>
        </w:tc>
        <w:tc>
          <w:tcPr>
            <w:tcW w:w="4536" w:type="dxa"/>
            <w:noWrap w:val="0"/>
            <w:vAlign w:val="center"/>
          </w:tcPr>
          <w:p w14:paraId="69A15F53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团员全部成为注册志愿者并可查验；团员在工作、学习等方面发挥模范作用。</w:t>
            </w:r>
          </w:p>
        </w:tc>
        <w:tc>
          <w:tcPr>
            <w:tcW w:w="4591" w:type="dxa"/>
            <w:noWrap w:val="0"/>
            <w:vAlign w:val="center"/>
          </w:tcPr>
          <w:p w14:paraId="4212B7C8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支部成员受到党纪处分、政务处分、团纪处分的不得分。</w:t>
            </w:r>
          </w:p>
        </w:tc>
      </w:tr>
      <w:tr w14:paraId="291DD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0403F104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65D533D9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4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.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服务中心大局成效（5分）</w:t>
            </w:r>
          </w:p>
        </w:tc>
        <w:tc>
          <w:tcPr>
            <w:tcW w:w="4536" w:type="dxa"/>
            <w:noWrap w:val="0"/>
            <w:vAlign w:val="center"/>
          </w:tcPr>
          <w:p w14:paraId="10511D9A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围绕志愿服务、济困助学、就业创业、岗位建功、实践教育等领域，形成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项以上特色品牌活动，每季度组织开展活动不少于</w:t>
            </w:r>
            <w:r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  <w:t>1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次。</w:t>
            </w:r>
          </w:p>
        </w:tc>
        <w:tc>
          <w:tcPr>
            <w:tcW w:w="4591" w:type="dxa"/>
            <w:noWrap w:val="0"/>
            <w:vAlign w:val="center"/>
          </w:tcPr>
          <w:p w14:paraId="05A539BC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评估工作和活动实际效果、党组织及团员青年满意度。</w:t>
            </w:r>
          </w:p>
        </w:tc>
      </w:tr>
      <w:tr w14:paraId="2E9AE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05" w:type="dxa"/>
            <w:vMerge w:val="continue"/>
            <w:noWrap w:val="0"/>
            <w:vAlign w:val="center"/>
          </w:tcPr>
          <w:p w14:paraId="72982DD8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</w:p>
        </w:tc>
        <w:tc>
          <w:tcPr>
            <w:tcW w:w="3260" w:type="dxa"/>
            <w:noWrap w:val="0"/>
            <w:vAlign w:val="center"/>
          </w:tcPr>
          <w:p w14:paraId="65DF01E1">
            <w:pPr>
              <w:tabs>
                <w:tab w:val="left" w:pos="312"/>
              </w:tabs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15.加强“推优入党”（5分）</w:t>
            </w:r>
          </w:p>
        </w:tc>
        <w:tc>
          <w:tcPr>
            <w:tcW w:w="4536" w:type="dxa"/>
            <w:noWrap w:val="0"/>
            <w:vAlign w:val="center"/>
          </w:tcPr>
          <w:p w14:paraId="5EB01340">
            <w:pPr>
              <w:snapToGrid w:val="0"/>
              <w:spacing w:line="340" w:lineRule="exact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支部团员申请入党人数较多，积极主动向党组织推荐优秀团员，与党组织衔接顺畅，有具体的“推优”名单。</w:t>
            </w:r>
          </w:p>
        </w:tc>
        <w:tc>
          <w:tcPr>
            <w:tcW w:w="4591" w:type="dxa"/>
            <w:noWrap w:val="0"/>
            <w:vAlign w:val="center"/>
          </w:tcPr>
          <w:p w14:paraId="0C004795">
            <w:pPr>
              <w:snapToGrid w:val="0"/>
              <w:spacing w:line="340" w:lineRule="exact"/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评估支部团员申请入党人数；推优是否规范，经过团组织推优加入党组织的人数；全年未开展推优工作的不得分。</w:t>
            </w:r>
          </w:p>
        </w:tc>
      </w:tr>
      <w:tr w14:paraId="7F06C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  <w:jc w:val="center"/>
        </w:trPr>
        <w:tc>
          <w:tcPr>
            <w:tcW w:w="1505" w:type="dxa"/>
            <w:noWrap w:val="0"/>
            <w:vAlign w:val="center"/>
          </w:tcPr>
          <w:p w14:paraId="7B1AB281">
            <w:pPr>
              <w:snapToGrid w:val="0"/>
              <w:spacing w:line="260" w:lineRule="exact"/>
              <w:jc w:val="center"/>
              <w:rPr>
                <w:rFonts w:ascii="Times New Roman" w:hAnsi="Times New Roman" w:eastAsia="方正黑体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/>
                <w:color w:val="auto"/>
                <w:sz w:val="24"/>
                <w:szCs w:val="24"/>
              </w:rPr>
              <w:t>自评定级</w:t>
            </w:r>
          </w:p>
        </w:tc>
        <w:tc>
          <w:tcPr>
            <w:tcW w:w="3260" w:type="dxa"/>
            <w:noWrap w:val="0"/>
            <w:vAlign w:val="center"/>
          </w:tcPr>
          <w:p w14:paraId="05A3EB9F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  <w:u w:val="single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星级团（总）支部</w:t>
            </w:r>
          </w:p>
        </w:tc>
        <w:tc>
          <w:tcPr>
            <w:tcW w:w="4536" w:type="dxa"/>
            <w:noWrap w:val="0"/>
            <w:vAlign w:val="center"/>
          </w:tcPr>
          <w:p w14:paraId="43CFAB8A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/>
                <w:color w:val="auto"/>
                <w:sz w:val="24"/>
                <w:szCs w:val="24"/>
              </w:rPr>
              <w:t>上级复核</w:t>
            </w:r>
          </w:p>
        </w:tc>
        <w:tc>
          <w:tcPr>
            <w:tcW w:w="4591" w:type="dxa"/>
            <w:noWrap w:val="0"/>
            <w:vAlign w:val="center"/>
          </w:tcPr>
          <w:p w14:paraId="19B690FA">
            <w:pPr>
              <w:snapToGrid w:val="0"/>
              <w:spacing w:line="260" w:lineRule="exact"/>
              <w:jc w:val="center"/>
              <w:rPr>
                <w:rFonts w:ascii="Times New Roman" w:hAnsi="Times New Roman" w:eastAsia="方正仿宋_GBK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 xml:space="preserve"> （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Times New Roman" w:hAnsi="Times New Roman" w:eastAsia="方正仿宋简体"/>
                <w:color w:val="auto"/>
                <w:sz w:val="24"/>
                <w:szCs w:val="24"/>
              </w:rPr>
              <w:t>）</w:t>
            </w:r>
            <w:r>
              <w:rPr>
                <w:rFonts w:hint="eastAsia" w:ascii="Times New Roman" w:hAnsi="Times New Roman" w:eastAsia="方正仿宋_GBK"/>
                <w:color w:val="auto"/>
                <w:sz w:val="24"/>
                <w:szCs w:val="24"/>
              </w:rPr>
              <w:t>星级团（总）支部</w:t>
            </w:r>
          </w:p>
        </w:tc>
      </w:tr>
    </w:tbl>
    <w:p w14:paraId="527AF2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20" w:beforeLines="50" w:line="180" w:lineRule="exact"/>
        <w:textAlignment w:val="auto"/>
        <w:rPr>
          <w:rFonts w:hint="eastAsia" w:ascii="Times New Roman" w:hAnsi="Times New Roman" w:eastAsia="方正楷体_GBK"/>
          <w:color w:val="000000"/>
          <w:spacing w:val="-6"/>
          <w:sz w:val="21"/>
          <w:szCs w:val="21"/>
        </w:rPr>
      </w:pPr>
      <w:r>
        <w:rPr>
          <w:rFonts w:ascii="Times New Roman" w:hAnsi="Times New Roman" w:eastAsia="方正楷体_GBK"/>
          <w:color w:val="000000"/>
          <w:sz w:val="21"/>
          <w:szCs w:val="21"/>
        </w:rPr>
        <w:t>注</w:t>
      </w:r>
      <w:r>
        <w:rPr>
          <w:rFonts w:hint="eastAsia" w:ascii="Times New Roman" w:hAnsi="Times New Roman" w:eastAsia="方正楷体_GBK"/>
          <w:color w:val="000000"/>
          <w:sz w:val="21"/>
          <w:szCs w:val="21"/>
        </w:rPr>
        <w:t>；（1）因上级团组织未分配发展团员计划指标而未发展团员的，不评估第4项；中学（中职）学生支部不评估第15项</w:t>
      </w:r>
      <w:r>
        <w:rPr>
          <w:rFonts w:ascii="Times New Roman" w:hAnsi="Times New Roman" w:eastAsia="方正楷体_GBK"/>
          <w:color w:val="000000"/>
          <w:spacing w:val="-6"/>
          <w:sz w:val="21"/>
          <w:szCs w:val="21"/>
        </w:rPr>
        <w:t>。</w:t>
      </w:r>
    </w:p>
    <w:p w14:paraId="7A089D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20" w:beforeLines="50" w:line="180" w:lineRule="exact"/>
        <w:ind w:firstLine="297" w:firstLineChars="150"/>
        <w:textAlignment w:val="auto"/>
      </w:pPr>
      <w:r>
        <w:rPr>
          <w:rFonts w:hint="eastAsia" w:ascii="Times New Roman" w:hAnsi="Times New Roman" w:eastAsia="方正楷体_GBK"/>
          <w:color w:val="000000"/>
          <w:spacing w:val="-6"/>
          <w:sz w:val="21"/>
          <w:szCs w:val="21"/>
        </w:rPr>
        <w:t>（2）评估说明中涉及“直接评定为软弱涣散团支部”情形的指标为“一票否决”指标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WPSEMBED7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EFD6EF2"/>
    <w:multiLevelType w:val="singleLevel"/>
    <w:tmpl w:val="EEFD6EF2"/>
    <w:lvl w:ilvl="0" w:tentative="0">
      <w:start w:val="6"/>
      <w:numFmt w:val="decimal"/>
      <w:suff w:val="nothing"/>
      <w:lvlText w:val="%1．"/>
      <w:lvlJc w:val="left"/>
    </w:lvl>
  </w:abstractNum>
  <w:abstractNum w:abstractNumId="1">
    <w:nsid w:val="FDFFE1D3"/>
    <w:multiLevelType w:val="singleLevel"/>
    <w:tmpl w:val="FDFFE1D3"/>
    <w:lvl w:ilvl="0" w:tentative="0">
      <w:start w:val="1"/>
      <w:numFmt w:val="decimal"/>
      <w:suff w:val="nothing"/>
      <w:lvlText w:val="%1．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176B93"/>
    <w:rsid w:val="7892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1718</Words>
  <Characters>1753</Characters>
  <Lines>0</Lines>
  <Paragraphs>0</Paragraphs>
  <TotalTime>0</TotalTime>
  <ScaleCrop>false</ScaleCrop>
  <LinksUpToDate>false</LinksUpToDate>
  <CharactersWithSpaces>1764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2021-11-12T07:57:00Z</dcterms:created>
  <dc:creator>admin</dc:creator>
  <cp:lastModifiedBy>楚楚楚楚cc </cp:lastModifiedBy>
  <dcterms:modified xsi:type="dcterms:W3CDTF">2026-01-15T13:28:12Z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89EC7C0DE50344348D51BFBE6CAB76BD_13</vt:lpwstr>
  </property>
  <property fmtid="{D5CDD505-2E9C-101B-9397-08002B2CF9AE}" pid="4" name="KSOTemplateDocerSaveRecord">
    <vt:lpwstr>eyJoZGlkIjoiZDM5NDk3MjQ0ZDQyMTQ1ZDVjYjg1ZTUyZTI4ZDhlZDgiLCJ1c2VySWQiOiIyNTAzMzgwODkifQ==</vt:lpwstr>
  </property>
</Properties>
</file>